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9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3592700" cy="1371219"/>
            <wp:effectExtent b="0" l="0" r="0" t="0"/>
            <wp:docPr descr="Logo, icon  Description automatically generated" id="2" name="image2.png"/>
            <a:graphic>
              <a:graphicData uri="http://schemas.openxmlformats.org/drawingml/2006/picture">
                <pic:pic>
                  <pic:nvPicPr>
                    <pic:cNvPr descr="Logo, icon  Description automatically generated" id="0" name="image2.png"/>
                    <pic:cNvPicPr preferRelativeResize="0"/>
                  </pic:nvPicPr>
                  <pic:blipFill>
                    <a:blip r:embed="rId7"/>
                    <a:srcRect b="0" l="0" r="0" t="0"/>
                    <a:stretch>
                      <a:fillRect/>
                    </a:stretch>
                  </pic:blipFill>
                  <pic:spPr>
                    <a:xfrm>
                      <a:off x="0" y="0"/>
                      <a:ext cx="3592700" cy="137121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Title"/>
        <w:ind w:firstLine="3"/>
        <w:rPr/>
      </w:pPr>
      <w:r w:rsidDel="00000000" w:rsidR="00000000" w:rsidRPr="00000000">
        <w:rPr>
          <w:rtl w:val="0"/>
        </w:rPr>
        <w:t xml:space="preserve">Accessibility Plan</w:t>
      </w:r>
    </w:p>
    <w:p w:rsidR="00000000" w:rsidDel="00000000" w:rsidP="00000000" w:rsidRDefault="00000000" w:rsidRPr="00000000" w14:paraId="00000003">
      <w:pPr>
        <w:pStyle w:val="Heading2"/>
        <w:spacing w:before="241" w:lineRule="auto"/>
        <w:ind w:left="3" w:firstLine="0"/>
        <w:rPr/>
      </w:pPr>
      <w:r w:rsidDel="00000000" w:rsidR="00000000" w:rsidRPr="00000000">
        <w:rPr>
          <w:rtl w:val="0"/>
        </w:rPr>
        <w:t xml:space="preserve">Policy Review</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1"/>
          <w:bCs w:val="1"/>
          <w:i w:val="0"/>
          <w:iCs w:val="0"/>
          <w:smallCaps w:val="0"/>
          <w:strike w:val="0"/>
          <w:color w:val="000000"/>
          <w:sz w:val="4"/>
          <w:szCs w:val="4"/>
          <w:u w:val="none"/>
          <w:shd w:fill="auto" w:val="clear"/>
          <w:vertAlign w:val="baseline"/>
        </w:rPr>
      </w:pPr>
      <w:r w:rsidDel="00000000" w:rsidR="00000000" w:rsidRPr="00000000">
        <w:rPr>
          <w:rtl w:val="0"/>
        </w:rPr>
      </w:r>
    </w:p>
    <w:tbl>
      <w:tblPr>
        <w:tblStyle w:val="Table1"/>
        <w:tblW w:w="9042.0" w:type="dxa"/>
        <w:jc w:val="left"/>
        <w:tblInd w:w="123.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2302"/>
        <w:gridCol w:w="2239"/>
        <w:gridCol w:w="2261"/>
        <w:gridCol w:w="2240"/>
        <w:tblGridChange w:id="0">
          <w:tblGrid>
            <w:gridCol w:w="2302"/>
            <w:gridCol w:w="2239"/>
            <w:gridCol w:w="2261"/>
            <w:gridCol w:w="2240"/>
          </w:tblGrid>
        </w:tblGridChange>
      </w:tblGrid>
      <w:tr>
        <w:trPr>
          <w:cantSplit w:val="0"/>
          <w:trHeight w:val="315" w:hRule="atLeast"/>
          <w:tblHeader w:val="0"/>
        </w:trPr>
        <w:tc>
          <w:tcPr>
            <w:vMerge w:val="restart"/>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482"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Review Cycle:</w:t>
            </w:r>
          </w:p>
        </w:tc>
        <w:tc>
          <w:tcPr>
            <w:tcBorders>
              <w:bottom w:color="000000" w:space="0" w:sz="0" w:val="nil"/>
            </w:tcBorders>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 w:right="3"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Date of Current</w:t>
            </w:r>
          </w:p>
        </w:tc>
        <w:tc>
          <w:tcPr>
            <w:tcBorders>
              <w:bottom w:color="000000" w:space="0" w:sz="0" w:val="nil"/>
            </w:tcBorders>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1"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Author(s) of</w:t>
            </w:r>
          </w:p>
        </w:tc>
        <w:tc>
          <w:tcPr>
            <w:vMerge w:val="restart"/>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496"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Review Date</w:t>
            </w:r>
          </w:p>
        </w:tc>
      </w:tr>
      <w:tr>
        <w:trPr>
          <w:cantSplit w:val="0"/>
          <w:trHeight w:val="563" w:hRule="atLeast"/>
          <w:tblHeader w:val="0"/>
        </w:trPr>
        <w:tc>
          <w:tcPr>
            <w:vMerge w:val="continue"/>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 w:right="3"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Policy:</w:t>
            </w:r>
          </w:p>
        </w:tc>
        <w:tc>
          <w:tcPr>
            <w:tcBorders>
              <w:top w:color="000000" w:space="0" w:sz="0" w:val="nil"/>
            </w:tcBorders>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 w:right="1"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Current Policy:</w:t>
            </w:r>
          </w:p>
        </w:tc>
        <w:tc>
          <w:tcPr>
            <w:vMerge w:val="continue"/>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94" w:hRule="atLeast"/>
          <w:tblHeader w:val="0"/>
        </w:trPr>
        <w:tc>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3" w:lineRule="auto"/>
              <w:ind w:left="16" w:right="1"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 Year</w:t>
            </w:r>
          </w:p>
        </w:tc>
        <w:tc>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3" w:lineRule="auto"/>
              <w:ind w:left="1" w:right="3"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February 2026</w:t>
            </w:r>
          </w:p>
        </w:tc>
        <w:tc>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3" w:lineRule="auto"/>
              <w:ind w:left="0" w:right="1"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William Owsley</w:t>
            </w:r>
          </w:p>
        </w:tc>
        <w:tc>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3" w:lineRule="auto"/>
              <w:ind w:left="1" w:right="3"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February 2029</w:t>
            </w:r>
          </w:p>
        </w:tc>
      </w:tr>
      <w:tr>
        <w:trPr>
          <w:cantSplit w:val="0"/>
          <w:trHeight w:val="292" w:hRule="atLeast"/>
          <w:tblHeader w:val="0"/>
        </w:trPr>
        <w:tc>
          <w:tcPr>
            <w:gridSpan w:val="4"/>
            <w:tcBorders>
              <w:left w:color="000000" w:space="0" w:sz="0" w:val="nil"/>
              <w:right w:color="000000" w:space="0" w:sz="0" w:val="nil"/>
            </w:tcBorders>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261"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261"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Policy Ratification</w:t>
            </w:r>
          </w:p>
        </w:tc>
      </w:tr>
      <w:tr>
        <w:trPr>
          <w:cantSplit w:val="0"/>
          <w:trHeight w:val="587" w:hRule="atLeast"/>
          <w:tblHeader w:val="0"/>
        </w:trPr>
        <w:tc>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16"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Role</w:t>
            </w:r>
          </w:p>
        </w:tc>
        <w:tc>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0" w:right="3"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Name</w:t>
            </w:r>
          </w:p>
        </w:tc>
        <w:tc>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1" w:right="1"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Signature</w:t>
            </w:r>
          </w:p>
        </w:tc>
        <w:tc>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3" w:right="3"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Date</w:t>
            </w:r>
          </w:p>
        </w:tc>
      </w:tr>
      <w:tr>
        <w:trPr>
          <w:cantSplit w:val="0"/>
          <w:trHeight w:val="1043" w:hRule="atLeast"/>
          <w:tblHeader w:val="0"/>
        </w:trPr>
        <w:tc>
          <w:tcPr>
            <w:vAlign w:val="cente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4" w:right="359"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Principal</w:t>
            </w:r>
          </w:p>
        </w:tc>
        <w:tc>
          <w:tcPr>
            <w:vAlign w:val="cente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 w:right="6"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Emma Reynolds</w:t>
            </w:r>
          </w:p>
        </w:tc>
        <w:tc>
          <w:tcPr>
            <w:vAlign w:val="center"/>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center"/>
              <w:rPr>
                <w:rFonts w:ascii="Calibri" w:cs="Calibri" w:eastAsia="Calibri" w:hAnsi="Calibri"/>
                <w:b w:val="1"/>
                <w:bCs w:val="1"/>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5"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drawing>
                <wp:inline distB="0" distT="0" distL="0" distR="0">
                  <wp:extent cx="348427" cy="441960"/>
                  <wp:effectExtent b="0" l="0" r="0" t="0"/>
                  <wp:docPr descr="C:\Users\Julie.Dayman-johns.FROMECOLLEGE.001\AppData\Local\Microsoft\Windows\Temporary Internet Files\Content.Outlook\CW0VQFGU\E reynolds signature.jpg " id="4" name="image1.png"/>
                  <a:graphic>
                    <a:graphicData uri="http://schemas.openxmlformats.org/drawingml/2006/picture">
                      <pic:pic>
                        <pic:nvPicPr>
                          <pic:cNvPr descr="C:\Users\Julie.Dayman-johns.FROMECOLLEGE.001\AppData\Local\Microsoft\Windows\Temporary Internet Files\Content.Outlook\CW0VQFGU\E reynolds signature.jpg " id="0" name="image1.png"/>
                          <pic:cNvPicPr preferRelativeResize="0"/>
                        </pic:nvPicPr>
                        <pic:blipFill>
                          <a:blip r:embed="rId8"/>
                          <a:srcRect b="0" l="0" r="0" t="0"/>
                          <a:stretch>
                            <a:fillRect/>
                          </a:stretch>
                        </pic:blipFill>
                        <pic:spPr>
                          <a:xfrm>
                            <a:off x="0" y="0"/>
                            <a:ext cx="348427" cy="44196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May 2026</w:t>
            </w:r>
          </w:p>
        </w:tc>
      </w:tr>
      <w:tr>
        <w:trPr>
          <w:cantSplit w:val="0"/>
          <w:trHeight w:val="1043" w:hRule="atLeast"/>
          <w:tblHeader w:val="0"/>
        </w:trPr>
        <w:tc>
          <w:tcPr>
            <w:vAlign w:val="center"/>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4" w:right="132"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Chair of Governors</w:t>
            </w:r>
          </w:p>
        </w:tc>
        <w:tc>
          <w:tcPr>
            <w:vAlign w:val="cente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Gayle Willmott</w:t>
            </w:r>
          </w:p>
        </w:tc>
        <w:tc>
          <w:tcPr>
            <w:vAlign w:val="center"/>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center"/>
              <w:rPr>
                <w:rFonts w:ascii="Calibri" w:cs="Calibri" w:eastAsia="Calibri" w:hAnsi="Calibri"/>
                <w:b w:val="1"/>
                <w:bCs w:val="1"/>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drawing>
                <wp:inline distB="0" distT="0" distL="0" distR="0">
                  <wp:extent cx="1113316" cy="452151"/>
                  <wp:effectExtent b="0" l="0" r="0" t="0"/>
                  <wp:docPr descr="Image preview " id="3" name="image3.jpg"/>
                  <a:graphic>
                    <a:graphicData uri="http://schemas.openxmlformats.org/drawingml/2006/picture">
                      <pic:pic>
                        <pic:nvPicPr>
                          <pic:cNvPr descr="Image preview " id="0" name="image3.jpg"/>
                          <pic:cNvPicPr preferRelativeResize="0"/>
                        </pic:nvPicPr>
                        <pic:blipFill>
                          <a:blip r:embed="rId9"/>
                          <a:srcRect b="0" l="0" r="0" t="0"/>
                          <a:stretch>
                            <a:fillRect/>
                          </a:stretch>
                        </pic:blipFill>
                        <pic:spPr>
                          <a:xfrm>
                            <a:off x="0" y="0"/>
                            <a:ext cx="1113316" cy="452151"/>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May 2026</w:t>
            </w:r>
          </w:p>
        </w:tc>
      </w:tr>
    </w:tbl>
    <w:p w:rsidR="00000000" w:rsidDel="00000000" w:rsidP="00000000" w:rsidRDefault="00000000" w:rsidRPr="00000000" w14:paraId="00000023">
      <w:pPr>
        <w:rPr>
          <w:sz w:val="24"/>
          <w:szCs w:val="24"/>
        </w:rPr>
        <w:sectPr>
          <w:footerReference r:id="rId10" w:type="default"/>
          <w:pgSz w:h="16840" w:w="11910" w:orient="portrait"/>
          <w:pgMar w:bottom="851" w:top="851" w:left="851" w:right="851" w:header="0" w:footer="708"/>
          <w:pgNumType w:start="1"/>
        </w:sectPr>
      </w:pPr>
      <w:r w:rsidDel="00000000" w:rsidR="00000000" w:rsidRPr="00000000">
        <w:rPr>
          <w:rtl w:val="0"/>
        </w:rPr>
      </w:r>
    </w:p>
    <w:p w:rsidR="00000000" w:rsidDel="00000000" w:rsidP="00000000" w:rsidRDefault="00000000" w:rsidRPr="00000000" w14:paraId="00000024">
      <w:pPr>
        <w:pStyle w:val="Heading1"/>
        <w:numPr>
          <w:ilvl w:val="0"/>
          <w:numId w:val="1"/>
        </w:numPr>
        <w:tabs>
          <w:tab w:val="left" w:leader="none" w:pos="479"/>
        </w:tabs>
        <w:spacing w:before="42" w:lineRule="auto"/>
        <w:ind w:left="479" w:hanging="239"/>
        <w:rPr/>
      </w:pPr>
      <w:bookmarkStart w:colFirst="0" w:colLast="0" w:name="_heading=h.9f86e8ourixs" w:id="0"/>
      <w:bookmarkEnd w:id="0"/>
      <w:r w:rsidDel="00000000" w:rsidR="00000000" w:rsidRPr="00000000">
        <w:rPr>
          <w:color w:val="001f5f"/>
          <w:rtl w:val="0"/>
        </w:rPr>
        <w:t xml:space="preserve">Aims</w:t>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28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Accessibility Plan builds on the previous plan and reflects progress made since 2023. The College is committed to providing a fully accessible environment which values and includes all students, staff, parents and visitors. We aim to continually improve access to the physical environment, the curriculum and written information, while promoting equality, diversity and inclusion.</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284"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Improving physical access at Frome College</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851" w:right="0" w:hanging="56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Development of the Learning Hub external area for SEND students</w:t>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851" w:right="0" w:hanging="56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High-contrast yellow edging applied to steps and stairs</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851" w:right="0" w:hanging="56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Ongoing maintenance of accessible routes and pathways</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851" w:right="0" w:hanging="56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Acoustic improvements within the Learning Hub</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851" w:right="0" w:hanging="56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Accessible toilets and facilities across site</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851" w:right="0" w:hanging="567"/>
        <w:jc w:val="left"/>
        <w:rPr>
          <w:u w:val="none"/>
        </w:rPr>
      </w:pPr>
      <w:r w:rsidDel="00000000" w:rsidR="00000000" w:rsidRPr="00000000">
        <w:rPr>
          <w:rtl w:val="0"/>
        </w:rPr>
        <w:t xml:space="preserve">Ongoing maintenance of lifts and hoists to support accessibility</w:t>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851" w:right="0" w:hanging="567"/>
        <w:jc w:val="left"/>
        <w:rPr>
          <w:u w:val="none"/>
        </w:rPr>
      </w:pPr>
      <w:r w:rsidDel="00000000" w:rsidR="00000000" w:rsidRPr="00000000">
        <w:rPr>
          <w:rtl w:val="0"/>
        </w:rPr>
        <w:t xml:space="preserve">Improved signage around site to support physical access</w:t>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851" w:right="0" w:hanging="567"/>
        <w:jc w:val="left"/>
        <w:rPr>
          <w:u w:val="none"/>
        </w:rPr>
      </w:pPr>
      <w:r w:rsidDel="00000000" w:rsidR="00000000" w:rsidRPr="00000000">
        <w:rPr>
          <w:rtl w:val="0"/>
        </w:rPr>
        <w:t xml:space="preserve">Separate disabled toilet area including self-cleaning toilet and hoist</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Improving the curriculum access at Frome College</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Adaptive teaching strategies including scaffolding and differentiation</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of assistive technology and alternative recording methods</w:t>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Exam access arrangements (extra time, readers, scribes)</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Inclusive planning for trips and enrichment activities</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Monitoring of outcomes for key groups (SEND, disadvantaged, EAL)</w:t>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left"/>
        <w:rPr>
          <w:u w:val="none"/>
        </w:rPr>
      </w:pPr>
      <w:r w:rsidDel="00000000" w:rsidR="00000000" w:rsidRPr="00000000">
        <w:rPr>
          <w:rtl w:val="0"/>
        </w:rPr>
        <w:t xml:space="preserve">Use of pupil passports to support teachers and learners in the classroom</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Improving the delivery of written information at Frome College</w:t>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of dyslexia-friendly and Easy Reader fonts in publications</w:t>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Accessible formats available on request</w:t>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Accessible website tools and digital communication</w:t>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Clear and plain English communication with parents</w:t>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awareness of accessible document design</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Promoting equality and inclusion</w:t>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Regular monitoring of student outcomes by key groups to identify gaps</w:t>
      </w:r>
    </w:p>
    <w:p w:rsidR="00000000" w:rsidDel="00000000" w:rsidP="00000000" w:rsidRDefault="00000000" w:rsidRPr="00000000" w14:paraId="000000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 voice used to inform accessibility improvements</w:t>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training in SEND, inclusion, and mental health awareness</w:t>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Reasonable adjustments for both students and staff</w:t>
      </w:r>
    </w:p>
    <w:p w:rsidR="00000000" w:rsidDel="00000000" w:rsidP="00000000" w:rsidRDefault="00000000" w:rsidRPr="00000000" w14:paraId="000000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283.46456692913375" w:right="0"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Inclusive culture promoted through curriculum and assemblies</w:t>
      </w:r>
    </w:p>
    <w:p w:rsidR="00000000" w:rsidDel="00000000" w:rsidP="00000000" w:rsidRDefault="00000000" w:rsidRPr="00000000" w14:paraId="00000045">
      <w:pPr>
        <w:rPr>
          <w:sz w:val="20"/>
          <w:szCs w:val="20"/>
        </w:rPr>
      </w:pPr>
      <w:r w:rsidDel="00000000" w:rsidR="00000000" w:rsidRPr="00000000">
        <w:rPr>
          <w:rtl w:val="0"/>
        </w:rPr>
      </w:r>
    </w:p>
    <w:p w:rsidR="00000000" w:rsidDel="00000000" w:rsidP="00000000" w:rsidRDefault="00000000" w:rsidRPr="00000000" w14:paraId="00000046">
      <w:pPr>
        <w:pStyle w:val="Heading1"/>
        <w:numPr>
          <w:ilvl w:val="0"/>
          <w:numId w:val="1"/>
        </w:numPr>
        <w:tabs>
          <w:tab w:val="left" w:leader="none" w:pos="479"/>
        </w:tabs>
        <w:spacing w:before="42" w:lineRule="auto"/>
        <w:ind w:left="479" w:hanging="239"/>
        <w:rPr>
          <w:color w:val="001f5f"/>
        </w:rPr>
      </w:pPr>
      <w:bookmarkStart w:colFirst="0" w:colLast="0" w:name="_heading=h.1y3l18ckcciw" w:id="1"/>
      <w:bookmarkEnd w:id="1"/>
      <w:r w:rsidDel="00000000" w:rsidR="00000000" w:rsidRPr="00000000">
        <w:rPr>
          <w:color w:val="001f5f"/>
          <w:rtl w:val="0"/>
        </w:rPr>
        <w:t xml:space="preserve">Accessibility Action Plan</w:t>
      </w:r>
    </w:p>
    <w:p w:rsidR="00000000" w:rsidDel="00000000" w:rsidP="00000000" w:rsidRDefault="00000000" w:rsidRPr="00000000" w14:paraId="00000047">
      <w:pPr>
        <w:rPr>
          <w:sz w:val="20"/>
          <w:szCs w:val="20"/>
        </w:rPr>
      </w:pPr>
      <w:r w:rsidDel="00000000" w:rsidR="00000000" w:rsidRPr="00000000">
        <w:rPr>
          <w:rtl w:val="0"/>
        </w:rPr>
      </w:r>
    </w:p>
    <w:tbl>
      <w:tblPr>
        <w:tblStyle w:val="Table2"/>
        <w:tblW w:w="10194.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87"/>
        <w:gridCol w:w="1833"/>
        <w:gridCol w:w="1116"/>
        <w:gridCol w:w="1248"/>
        <w:gridCol w:w="989"/>
        <w:gridCol w:w="1374"/>
        <w:gridCol w:w="1410"/>
        <w:gridCol w:w="938"/>
        <w:tblGridChange w:id="0">
          <w:tblGrid>
            <w:gridCol w:w="1287"/>
            <w:gridCol w:w="1833"/>
            <w:gridCol w:w="1116"/>
            <w:gridCol w:w="1248"/>
            <w:gridCol w:w="989"/>
            <w:gridCol w:w="1374"/>
            <w:gridCol w:w="1410"/>
            <w:gridCol w:w="938"/>
          </w:tblGrid>
        </w:tblGridChange>
      </w:tblGrid>
      <w:tr>
        <w:trPr>
          <w:cantSplit w:val="0"/>
          <w:tblHeader w:val="0"/>
        </w:trPr>
        <w:tc>
          <w:tcPr/>
          <w:p w:rsidR="00000000" w:rsidDel="00000000" w:rsidP="00000000" w:rsidRDefault="00000000" w:rsidRPr="00000000" w14:paraId="00000048">
            <w:pPr>
              <w:rPr/>
            </w:pPr>
            <w:r w:rsidDel="00000000" w:rsidR="00000000" w:rsidRPr="00000000">
              <w:rPr>
                <w:rtl w:val="0"/>
              </w:rPr>
              <w:t xml:space="preserve">Area</w:t>
            </w:r>
          </w:p>
        </w:tc>
        <w:tc>
          <w:tcPr/>
          <w:p w:rsidR="00000000" w:rsidDel="00000000" w:rsidP="00000000" w:rsidRDefault="00000000" w:rsidRPr="00000000" w14:paraId="00000049">
            <w:pPr>
              <w:rPr/>
            </w:pPr>
            <w:r w:rsidDel="00000000" w:rsidR="00000000" w:rsidRPr="00000000">
              <w:rPr>
                <w:rtl w:val="0"/>
              </w:rPr>
              <w:t xml:space="preserve">Action</w:t>
            </w:r>
          </w:p>
        </w:tc>
        <w:tc>
          <w:tcPr/>
          <w:p w:rsidR="00000000" w:rsidDel="00000000" w:rsidP="00000000" w:rsidRDefault="00000000" w:rsidRPr="00000000" w14:paraId="0000004A">
            <w:pPr>
              <w:rPr/>
            </w:pPr>
            <w:r w:rsidDel="00000000" w:rsidR="00000000" w:rsidRPr="00000000">
              <w:rPr>
                <w:rtl w:val="0"/>
              </w:rPr>
              <w:t xml:space="preserve">Lead</w:t>
            </w:r>
          </w:p>
        </w:tc>
        <w:tc>
          <w:tcPr/>
          <w:p w:rsidR="00000000" w:rsidDel="00000000" w:rsidP="00000000" w:rsidRDefault="00000000" w:rsidRPr="00000000" w14:paraId="0000004B">
            <w:pPr>
              <w:rPr/>
            </w:pPr>
            <w:r w:rsidDel="00000000" w:rsidR="00000000" w:rsidRPr="00000000">
              <w:rPr>
                <w:rtl w:val="0"/>
              </w:rPr>
              <w:t xml:space="preserve">Timescale</w:t>
            </w:r>
          </w:p>
        </w:tc>
        <w:tc>
          <w:tcPr/>
          <w:p w:rsidR="00000000" w:rsidDel="00000000" w:rsidP="00000000" w:rsidRDefault="00000000" w:rsidRPr="00000000" w14:paraId="0000004C">
            <w:pPr>
              <w:rPr/>
            </w:pPr>
            <w:r w:rsidDel="00000000" w:rsidR="00000000" w:rsidRPr="00000000">
              <w:rPr>
                <w:rtl w:val="0"/>
              </w:rPr>
              <w:t xml:space="preserve">Cost</w:t>
            </w:r>
          </w:p>
        </w:tc>
        <w:tc>
          <w:tcPr/>
          <w:p w:rsidR="00000000" w:rsidDel="00000000" w:rsidP="00000000" w:rsidRDefault="00000000" w:rsidRPr="00000000" w14:paraId="0000004D">
            <w:pPr>
              <w:rPr/>
            </w:pPr>
            <w:r w:rsidDel="00000000" w:rsidR="00000000" w:rsidRPr="00000000">
              <w:rPr>
                <w:rtl w:val="0"/>
              </w:rPr>
              <w:t xml:space="preserve">Success Criteria</w:t>
            </w:r>
          </w:p>
        </w:tc>
        <w:tc>
          <w:tcPr/>
          <w:p w:rsidR="00000000" w:rsidDel="00000000" w:rsidP="00000000" w:rsidRDefault="00000000" w:rsidRPr="00000000" w14:paraId="0000004E">
            <w:pPr>
              <w:rPr/>
            </w:pPr>
            <w:r w:rsidDel="00000000" w:rsidR="00000000" w:rsidRPr="00000000">
              <w:rPr>
                <w:rtl w:val="0"/>
              </w:rPr>
              <w:t xml:space="preserve">Monitoring</w:t>
            </w:r>
          </w:p>
        </w:tc>
        <w:tc>
          <w:tcPr/>
          <w:p w:rsidR="00000000" w:rsidDel="00000000" w:rsidP="00000000" w:rsidRDefault="00000000" w:rsidRPr="00000000" w14:paraId="0000004F">
            <w:pPr>
              <w:rPr/>
            </w:pPr>
            <w:r w:rsidDel="00000000" w:rsidR="00000000" w:rsidRPr="00000000">
              <w:rPr>
                <w:rtl w:val="0"/>
              </w:rPr>
              <w:t xml:space="preserve">RAG</w:t>
            </w:r>
          </w:p>
        </w:tc>
      </w:tr>
      <w:tr>
        <w:trPr>
          <w:cantSplit w:val="0"/>
          <w:tblHeader w:val="0"/>
        </w:trPr>
        <w:tc>
          <w:tcPr/>
          <w:p w:rsidR="00000000" w:rsidDel="00000000" w:rsidP="00000000" w:rsidRDefault="00000000" w:rsidRPr="00000000" w14:paraId="00000050">
            <w:pPr>
              <w:rPr/>
            </w:pPr>
            <w:r w:rsidDel="00000000" w:rsidR="00000000" w:rsidRPr="00000000">
              <w:rPr>
                <w:rtl w:val="0"/>
              </w:rPr>
              <w:t xml:space="preserve">Physical</w:t>
            </w:r>
          </w:p>
        </w:tc>
        <w:tc>
          <w:tcPr/>
          <w:p w:rsidR="00000000" w:rsidDel="00000000" w:rsidP="00000000" w:rsidRDefault="00000000" w:rsidRPr="00000000" w14:paraId="00000051">
            <w:pPr>
              <w:rPr/>
            </w:pPr>
            <w:r w:rsidDel="00000000" w:rsidR="00000000" w:rsidRPr="00000000">
              <w:rPr>
                <w:rtl w:val="0"/>
              </w:rPr>
              <w:t xml:space="preserve">Maintain high-contrast stair edging</w:t>
            </w:r>
          </w:p>
        </w:tc>
        <w:tc>
          <w:tcPr/>
          <w:p w:rsidR="00000000" w:rsidDel="00000000" w:rsidP="00000000" w:rsidRDefault="00000000" w:rsidRPr="00000000" w14:paraId="00000052">
            <w:pPr>
              <w:rPr/>
            </w:pPr>
            <w:r w:rsidDel="00000000" w:rsidR="00000000" w:rsidRPr="00000000">
              <w:rPr>
                <w:rtl w:val="0"/>
              </w:rPr>
              <w:t xml:space="preserve">Site Team</w:t>
            </w:r>
          </w:p>
        </w:tc>
        <w:tc>
          <w:tcPr/>
          <w:p w:rsidR="00000000" w:rsidDel="00000000" w:rsidP="00000000" w:rsidRDefault="00000000" w:rsidRPr="00000000" w14:paraId="00000053">
            <w:pPr>
              <w:rPr/>
            </w:pPr>
            <w:r w:rsidDel="00000000" w:rsidR="00000000" w:rsidRPr="00000000">
              <w:rPr>
                <w:rtl w:val="0"/>
              </w:rPr>
              <w:t xml:space="preserve">Ongoing</w:t>
            </w:r>
          </w:p>
        </w:tc>
        <w:tc>
          <w:tcPr/>
          <w:p w:rsidR="00000000" w:rsidDel="00000000" w:rsidP="00000000" w:rsidRDefault="00000000" w:rsidRPr="00000000" w14:paraId="00000054">
            <w:pPr>
              <w:rPr/>
            </w:pPr>
            <w:r w:rsidDel="00000000" w:rsidR="00000000" w:rsidRPr="00000000">
              <w:rPr>
                <w:rtl w:val="0"/>
              </w:rPr>
              <w:t xml:space="preserve">Low</w:t>
            </w:r>
          </w:p>
        </w:tc>
        <w:tc>
          <w:tcPr/>
          <w:p w:rsidR="00000000" w:rsidDel="00000000" w:rsidP="00000000" w:rsidRDefault="00000000" w:rsidRPr="00000000" w14:paraId="00000055">
            <w:pPr>
              <w:rPr/>
            </w:pPr>
            <w:r w:rsidDel="00000000" w:rsidR="00000000" w:rsidRPr="00000000">
              <w:rPr>
                <w:rtl w:val="0"/>
              </w:rPr>
              <w:t xml:space="preserve">All steps clearly visible</w:t>
            </w:r>
          </w:p>
        </w:tc>
        <w:tc>
          <w:tcPr/>
          <w:p w:rsidR="00000000" w:rsidDel="00000000" w:rsidP="00000000" w:rsidRDefault="00000000" w:rsidRPr="00000000" w14:paraId="00000056">
            <w:pPr>
              <w:rPr/>
            </w:pPr>
            <w:r w:rsidDel="00000000" w:rsidR="00000000" w:rsidRPr="00000000">
              <w:rPr>
                <w:rtl w:val="0"/>
              </w:rPr>
              <w:t xml:space="preserve">Site checks termly</w:t>
            </w:r>
          </w:p>
        </w:tc>
        <w:tc>
          <w:tcPr/>
          <w:p w:rsidR="00000000" w:rsidDel="00000000" w:rsidP="00000000" w:rsidRDefault="00000000" w:rsidRPr="00000000" w14:paraId="00000057">
            <w:pPr>
              <w:rPr/>
            </w:pPr>
            <w:r w:rsidDel="00000000" w:rsidR="00000000" w:rsidRPr="00000000">
              <w:rPr>
                <w:rtl w:val="0"/>
              </w:rPr>
              <w:t xml:space="preserve">Green</w:t>
            </w:r>
          </w:p>
        </w:tc>
      </w:tr>
      <w:tr>
        <w:trPr>
          <w:cantSplit w:val="0"/>
          <w:tblHeader w:val="0"/>
        </w:trPr>
        <w:tc>
          <w:tcPr/>
          <w:p w:rsidR="00000000" w:rsidDel="00000000" w:rsidP="00000000" w:rsidRDefault="00000000" w:rsidRPr="00000000" w14:paraId="00000058">
            <w:pPr>
              <w:rPr/>
            </w:pPr>
            <w:r w:rsidDel="00000000" w:rsidR="00000000" w:rsidRPr="00000000">
              <w:rPr>
                <w:rtl w:val="0"/>
              </w:rPr>
              <w:t xml:space="preserve">Physical</w:t>
            </w:r>
          </w:p>
        </w:tc>
        <w:tc>
          <w:tcPr/>
          <w:p w:rsidR="00000000" w:rsidDel="00000000" w:rsidP="00000000" w:rsidRDefault="00000000" w:rsidRPr="00000000" w14:paraId="00000059">
            <w:pPr>
              <w:rPr/>
            </w:pPr>
            <w:r w:rsidDel="00000000" w:rsidR="00000000" w:rsidRPr="00000000">
              <w:rPr>
                <w:rtl w:val="0"/>
              </w:rPr>
              <w:t xml:space="preserve">Improve pathways and surfaces</w:t>
            </w:r>
          </w:p>
        </w:tc>
        <w:tc>
          <w:tcPr/>
          <w:p w:rsidR="00000000" w:rsidDel="00000000" w:rsidP="00000000" w:rsidRDefault="00000000" w:rsidRPr="00000000" w14:paraId="0000005A">
            <w:pPr>
              <w:rPr/>
            </w:pPr>
            <w:r w:rsidDel="00000000" w:rsidR="00000000" w:rsidRPr="00000000">
              <w:rPr>
                <w:rtl w:val="0"/>
              </w:rPr>
              <w:t xml:space="preserve">Site Team</w:t>
            </w:r>
          </w:p>
        </w:tc>
        <w:tc>
          <w:tcPr/>
          <w:p w:rsidR="00000000" w:rsidDel="00000000" w:rsidP="00000000" w:rsidRDefault="00000000" w:rsidRPr="00000000" w14:paraId="0000005B">
            <w:pPr>
              <w:rPr/>
            </w:pPr>
            <w:r w:rsidDel="00000000" w:rsidR="00000000" w:rsidRPr="00000000">
              <w:rPr>
                <w:rtl w:val="0"/>
              </w:rPr>
              <w:t xml:space="preserve">2026–2027</w:t>
            </w:r>
          </w:p>
        </w:tc>
        <w:tc>
          <w:tcPr/>
          <w:p w:rsidR="00000000" w:rsidDel="00000000" w:rsidP="00000000" w:rsidRDefault="00000000" w:rsidRPr="00000000" w14:paraId="0000005C">
            <w:pPr>
              <w:rPr/>
            </w:pPr>
            <w:r w:rsidDel="00000000" w:rsidR="00000000" w:rsidRPr="00000000">
              <w:rPr>
                <w:rtl w:val="0"/>
              </w:rPr>
              <w:t xml:space="preserve">Medium</w:t>
            </w:r>
          </w:p>
        </w:tc>
        <w:tc>
          <w:tcPr/>
          <w:p w:rsidR="00000000" w:rsidDel="00000000" w:rsidP="00000000" w:rsidRDefault="00000000" w:rsidRPr="00000000" w14:paraId="0000005D">
            <w:pPr>
              <w:rPr/>
            </w:pPr>
            <w:r w:rsidDel="00000000" w:rsidR="00000000" w:rsidRPr="00000000">
              <w:rPr>
                <w:rtl w:val="0"/>
              </w:rPr>
              <w:t xml:space="preserve">No trip hazards</w:t>
            </w:r>
          </w:p>
        </w:tc>
        <w:tc>
          <w:tcPr/>
          <w:p w:rsidR="00000000" w:rsidDel="00000000" w:rsidP="00000000" w:rsidRDefault="00000000" w:rsidRPr="00000000" w14:paraId="0000005E">
            <w:pPr>
              <w:rPr/>
            </w:pPr>
            <w:r w:rsidDel="00000000" w:rsidR="00000000" w:rsidRPr="00000000">
              <w:rPr>
                <w:rtl w:val="0"/>
              </w:rPr>
              <w:t xml:space="preserve">H&amp;S audits</w:t>
            </w:r>
          </w:p>
        </w:tc>
        <w:tc>
          <w:tcPr/>
          <w:p w:rsidR="00000000" w:rsidDel="00000000" w:rsidP="00000000" w:rsidRDefault="00000000" w:rsidRPr="00000000" w14:paraId="0000005F">
            <w:pPr>
              <w:rPr/>
            </w:pPr>
            <w:r w:rsidDel="00000000" w:rsidR="00000000" w:rsidRPr="00000000">
              <w:rPr>
                <w:rtl w:val="0"/>
              </w:rPr>
              <w:t xml:space="preserve">Amber</w:t>
            </w:r>
          </w:p>
        </w:tc>
      </w:tr>
      <w:tr>
        <w:trPr>
          <w:cantSplit w:val="0"/>
          <w:tblHeader w:val="0"/>
        </w:trPr>
        <w:tc>
          <w:tcPr/>
          <w:p w:rsidR="00000000" w:rsidDel="00000000" w:rsidP="00000000" w:rsidRDefault="00000000" w:rsidRPr="00000000" w14:paraId="00000060">
            <w:pPr>
              <w:rPr/>
            </w:pPr>
            <w:r w:rsidDel="00000000" w:rsidR="00000000" w:rsidRPr="00000000">
              <w:rPr>
                <w:rtl w:val="0"/>
              </w:rPr>
              <w:t xml:space="preserve">Curriculum</w:t>
            </w:r>
          </w:p>
        </w:tc>
        <w:tc>
          <w:tcPr/>
          <w:p w:rsidR="00000000" w:rsidDel="00000000" w:rsidP="00000000" w:rsidRDefault="00000000" w:rsidRPr="00000000" w14:paraId="00000061">
            <w:pPr>
              <w:rPr/>
            </w:pPr>
            <w:r w:rsidDel="00000000" w:rsidR="00000000" w:rsidRPr="00000000">
              <w:rPr>
                <w:rtl w:val="0"/>
              </w:rPr>
              <w:t xml:space="preserve">Embed adaptive teaching strategies</w:t>
            </w:r>
          </w:p>
        </w:tc>
        <w:tc>
          <w:tcPr/>
          <w:p w:rsidR="00000000" w:rsidDel="00000000" w:rsidP="00000000" w:rsidRDefault="00000000" w:rsidRPr="00000000" w14:paraId="00000062">
            <w:pPr>
              <w:rPr/>
            </w:pPr>
            <w:r w:rsidDel="00000000" w:rsidR="00000000" w:rsidRPr="00000000">
              <w:rPr>
                <w:rtl w:val="0"/>
              </w:rPr>
              <w:t xml:space="preserve">SLT</w:t>
            </w:r>
          </w:p>
        </w:tc>
        <w:tc>
          <w:tcPr/>
          <w:p w:rsidR="00000000" w:rsidDel="00000000" w:rsidP="00000000" w:rsidRDefault="00000000" w:rsidRPr="00000000" w14:paraId="00000063">
            <w:pPr>
              <w:rPr/>
            </w:pPr>
            <w:r w:rsidDel="00000000" w:rsidR="00000000" w:rsidRPr="00000000">
              <w:rPr>
                <w:rtl w:val="0"/>
              </w:rPr>
              <w:t xml:space="preserve">Ongoing</w:t>
            </w:r>
          </w:p>
        </w:tc>
        <w:tc>
          <w:tcPr/>
          <w:p w:rsidR="00000000" w:rsidDel="00000000" w:rsidP="00000000" w:rsidRDefault="00000000" w:rsidRPr="00000000" w14:paraId="00000064">
            <w:pPr>
              <w:rPr/>
            </w:pPr>
            <w:r w:rsidDel="00000000" w:rsidR="00000000" w:rsidRPr="00000000">
              <w:rPr>
                <w:rtl w:val="0"/>
              </w:rPr>
              <w:t xml:space="preserve">Low</w:t>
            </w:r>
          </w:p>
        </w:tc>
        <w:tc>
          <w:tcPr/>
          <w:p w:rsidR="00000000" w:rsidDel="00000000" w:rsidP="00000000" w:rsidRDefault="00000000" w:rsidRPr="00000000" w14:paraId="00000065">
            <w:pPr>
              <w:rPr/>
            </w:pPr>
            <w:r w:rsidDel="00000000" w:rsidR="00000000" w:rsidRPr="00000000">
              <w:rPr>
                <w:rtl w:val="0"/>
              </w:rPr>
              <w:t xml:space="preserve">Improved access for SEND</w:t>
            </w:r>
          </w:p>
        </w:tc>
        <w:tc>
          <w:tcPr/>
          <w:p w:rsidR="00000000" w:rsidDel="00000000" w:rsidP="00000000" w:rsidRDefault="00000000" w:rsidRPr="00000000" w14:paraId="00000066">
            <w:pPr>
              <w:rPr/>
            </w:pPr>
            <w:r w:rsidDel="00000000" w:rsidR="00000000" w:rsidRPr="00000000">
              <w:rPr>
                <w:rtl w:val="0"/>
              </w:rPr>
              <w:t xml:space="preserve">Lesson observations</w:t>
            </w:r>
          </w:p>
        </w:tc>
        <w:tc>
          <w:tcPr/>
          <w:p w:rsidR="00000000" w:rsidDel="00000000" w:rsidP="00000000" w:rsidRDefault="00000000" w:rsidRPr="00000000" w14:paraId="00000067">
            <w:pPr>
              <w:rPr/>
            </w:pPr>
            <w:r w:rsidDel="00000000" w:rsidR="00000000" w:rsidRPr="00000000">
              <w:rPr>
                <w:rtl w:val="0"/>
              </w:rPr>
              <w:t xml:space="preserve">Amber</w:t>
            </w:r>
          </w:p>
        </w:tc>
      </w:tr>
      <w:tr>
        <w:trPr>
          <w:cantSplit w:val="0"/>
          <w:tblHeader w:val="0"/>
        </w:trPr>
        <w:tc>
          <w:tcPr/>
          <w:p w:rsidR="00000000" w:rsidDel="00000000" w:rsidP="00000000" w:rsidRDefault="00000000" w:rsidRPr="00000000" w14:paraId="00000068">
            <w:pPr>
              <w:rPr/>
            </w:pPr>
            <w:r w:rsidDel="00000000" w:rsidR="00000000" w:rsidRPr="00000000">
              <w:rPr>
                <w:rtl w:val="0"/>
              </w:rPr>
              <w:t xml:space="preserve">Curriculum</w:t>
            </w:r>
          </w:p>
        </w:tc>
        <w:tc>
          <w:tcPr/>
          <w:p w:rsidR="00000000" w:rsidDel="00000000" w:rsidP="00000000" w:rsidRDefault="00000000" w:rsidRPr="00000000" w14:paraId="00000069">
            <w:pPr>
              <w:rPr/>
            </w:pPr>
            <w:r w:rsidDel="00000000" w:rsidR="00000000" w:rsidRPr="00000000">
              <w:rPr>
                <w:rtl w:val="0"/>
              </w:rPr>
              <w:t xml:space="preserve">Monitor attainment gaps</w:t>
            </w:r>
          </w:p>
        </w:tc>
        <w:tc>
          <w:tcPr/>
          <w:p w:rsidR="00000000" w:rsidDel="00000000" w:rsidP="00000000" w:rsidRDefault="00000000" w:rsidRPr="00000000" w14:paraId="0000006A">
            <w:pPr>
              <w:rPr/>
            </w:pPr>
            <w:r w:rsidDel="00000000" w:rsidR="00000000" w:rsidRPr="00000000">
              <w:rPr>
                <w:rtl w:val="0"/>
              </w:rPr>
              <w:t xml:space="preserve">Data/SLT</w:t>
            </w:r>
          </w:p>
        </w:tc>
        <w:tc>
          <w:tcPr/>
          <w:p w:rsidR="00000000" w:rsidDel="00000000" w:rsidP="00000000" w:rsidRDefault="00000000" w:rsidRPr="00000000" w14:paraId="0000006B">
            <w:pPr>
              <w:rPr/>
            </w:pPr>
            <w:r w:rsidDel="00000000" w:rsidR="00000000" w:rsidRPr="00000000">
              <w:rPr>
                <w:rtl w:val="0"/>
              </w:rPr>
              <w:t xml:space="preserve">Termly</w:t>
            </w:r>
          </w:p>
        </w:tc>
        <w:tc>
          <w:tcPr/>
          <w:p w:rsidR="00000000" w:rsidDel="00000000" w:rsidP="00000000" w:rsidRDefault="00000000" w:rsidRPr="00000000" w14:paraId="0000006C">
            <w:pPr>
              <w:rPr/>
            </w:pPr>
            <w:r w:rsidDel="00000000" w:rsidR="00000000" w:rsidRPr="00000000">
              <w:rPr>
                <w:rtl w:val="0"/>
              </w:rPr>
              <w:t xml:space="preserve">Low</w:t>
            </w:r>
          </w:p>
        </w:tc>
        <w:tc>
          <w:tcPr/>
          <w:p w:rsidR="00000000" w:rsidDel="00000000" w:rsidP="00000000" w:rsidRDefault="00000000" w:rsidRPr="00000000" w14:paraId="0000006D">
            <w:pPr>
              <w:rPr/>
            </w:pPr>
            <w:r w:rsidDel="00000000" w:rsidR="00000000" w:rsidRPr="00000000">
              <w:rPr>
                <w:rtl w:val="0"/>
              </w:rPr>
              <w:t xml:space="preserve">Reduced gaps</w:t>
            </w:r>
          </w:p>
        </w:tc>
        <w:tc>
          <w:tcPr/>
          <w:p w:rsidR="00000000" w:rsidDel="00000000" w:rsidP="00000000" w:rsidRDefault="00000000" w:rsidRPr="00000000" w14:paraId="0000006E">
            <w:pPr>
              <w:rPr/>
            </w:pPr>
            <w:r w:rsidDel="00000000" w:rsidR="00000000" w:rsidRPr="00000000">
              <w:rPr>
                <w:rtl w:val="0"/>
              </w:rPr>
              <w:t xml:space="preserve">Data reports</w:t>
            </w:r>
          </w:p>
        </w:tc>
        <w:tc>
          <w:tcPr/>
          <w:p w:rsidR="00000000" w:rsidDel="00000000" w:rsidP="00000000" w:rsidRDefault="00000000" w:rsidRPr="00000000" w14:paraId="0000006F">
            <w:pPr>
              <w:rPr/>
            </w:pPr>
            <w:r w:rsidDel="00000000" w:rsidR="00000000" w:rsidRPr="00000000">
              <w:rPr>
                <w:rtl w:val="0"/>
              </w:rPr>
              <w:t xml:space="preserve">Amber</w:t>
            </w:r>
          </w:p>
        </w:tc>
      </w:tr>
      <w:tr>
        <w:trPr>
          <w:cantSplit w:val="0"/>
          <w:tblHeader w:val="0"/>
        </w:trPr>
        <w:tc>
          <w:tcPr/>
          <w:p w:rsidR="00000000" w:rsidDel="00000000" w:rsidP="00000000" w:rsidRDefault="00000000" w:rsidRPr="00000000" w14:paraId="00000070">
            <w:pPr>
              <w:rPr/>
            </w:pPr>
            <w:r w:rsidDel="00000000" w:rsidR="00000000" w:rsidRPr="00000000">
              <w:rPr>
                <w:rtl w:val="0"/>
              </w:rPr>
              <w:t xml:space="preserve">Written</w:t>
            </w:r>
          </w:p>
        </w:tc>
        <w:tc>
          <w:tcPr/>
          <w:p w:rsidR="00000000" w:rsidDel="00000000" w:rsidP="00000000" w:rsidRDefault="00000000" w:rsidRPr="00000000" w14:paraId="00000071">
            <w:pPr>
              <w:rPr/>
            </w:pPr>
            <w:r w:rsidDel="00000000" w:rsidR="00000000" w:rsidRPr="00000000">
              <w:rPr>
                <w:rtl w:val="0"/>
              </w:rPr>
              <w:t xml:space="preserve">Ensure all documents accessible</w:t>
            </w:r>
          </w:p>
        </w:tc>
        <w:tc>
          <w:tcPr/>
          <w:p w:rsidR="00000000" w:rsidDel="00000000" w:rsidP="00000000" w:rsidRDefault="00000000" w:rsidRPr="00000000" w14:paraId="00000072">
            <w:pPr>
              <w:rPr/>
            </w:pPr>
            <w:r w:rsidDel="00000000" w:rsidR="00000000" w:rsidRPr="00000000">
              <w:rPr>
                <w:rtl w:val="0"/>
              </w:rPr>
              <w:t xml:space="preserve">Admin</w:t>
            </w:r>
          </w:p>
        </w:tc>
        <w:tc>
          <w:tcPr/>
          <w:p w:rsidR="00000000" w:rsidDel="00000000" w:rsidP="00000000" w:rsidRDefault="00000000" w:rsidRPr="00000000" w14:paraId="00000073">
            <w:pPr>
              <w:rPr/>
            </w:pPr>
            <w:r w:rsidDel="00000000" w:rsidR="00000000" w:rsidRPr="00000000">
              <w:rPr>
                <w:rtl w:val="0"/>
              </w:rPr>
              <w:t xml:space="preserve">Ongoing</w:t>
            </w:r>
          </w:p>
        </w:tc>
        <w:tc>
          <w:tcPr/>
          <w:p w:rsidR="00000000" w:rsidDel="00000000" w:rsidP="00000000" w:rsidRDefault="00000000" w:rsidRPr="00000000" w14:paraId="00000074">
            <w:pPr>
              <w:rPr/>
            </w:pPr>
            <w:r w:rsidDel="00000000" w:rsidR="00000000" w:rsidRPr="00000000">
              <w:rPr>
                <w:rtl w:val="0"/>
              </w:rPr>
              <w:t xml:space="preserve">Low</w:t>
            </w:r>
          </w:p>
        </w:tc>
        <w:tc>
          <w:tcPr/>
          <w:p w:rsidR="00000000" w:rsidDel="00000000" w:rsidP="00000000" w:rsidRDefault="00000000" w:rsidRPr="00000000" w14:paraId="00000075">
            <w:pPr>
              <w:rPr/>
            </w:pPr>
            <w:r w:rsidDel="00000000" w:rsidR="00000000" w:rsidRPr="00000000">
              <w:rPr>
                <w:rtl w:val="0"/>
              </w:rPr>
              <w:t xml:space="preserve">Accessible formats available</w:t>
            </w:r>
          </w:p>
        </w:tc>
        <w:tc>
          <w:tcPr/>
          <w:p w:rsidR="00000000" w:rsidDel="00000000" w:rsidP="00000000" w:rsidRDefault="00000000" w:rsidRPr="00000000" w14:paraId="00000076">
            <w:pPr>
              <w:rPr/>
            </w:pPr>
            <w:r w:rsidDel="00000000" w:rsidR="00000000" w:rsidRPr="00000000">
              <w:rPr>
                <w:rtl w:val="0"/>
              </w:rPr>
              <w:t xml:space="preserve">Spot checks</w:t>
            </w:r>
          </w:p>
        </w:tc>
        <w:tc>
          <w:tcPr/>
          <w:p w:rsidR="00000000" w:rsidDel="00000000" w:rsidP="00000000" w:rsidRDefault="00000000" w:rsidRPr="00000000" w14:paraId="00000077">
            <w:pPr>
              <w:rPr/>
            </w:pPr>
            <w:r w:rsidDel="00000000" w:rsidR="00000000" w:rsidRPr="00000000">
              <w:rPr>
                <w:rtl w:val="0"/>
              </w:rPr>
              <w:t xml:space="preserve">Green</w:t>
            </w:r>
          </w:p>
        </w:tc>
      </w:tr>
      <w:tr>
        <w:trPr>
          <w:cantSplit w:val="0"/>
          <w:tblHeader w:val="0"/>
        </w:trPr>
        <w:tc>
          <w:tcPr/>
          <w:p w:rsidR="00000000" w:rsidDel="00000000" w:rsidP="00000000" w:rsidRDefault="00000000" w:rsidRPr="00000000" w14:paraId="00000078">
            <w:pPr>
              <w:rPr/>
            </w:pPr>
            <w:r w:rsidDel="00000000" w:rsidR="00000000" w:rsidRPr="00000000">
              <w:rPr>
                <w:rtl w:val="0"/>
              </w:rPr>
              <w:t xml:space="preserve">Trips</w:t>
            </w:r>
          </w:p>
        </w:tc>
        <w:tc>
          <w:tcPr/>
          <w:p w:rsidR="00000000" w:rsidDel="00000000" w:rsidP="00000000" w:rsidRDefault="00000000" w:rsidRPr="00000000" w14:paraId="00000079">
            <w:pPr>
              <w:rPr/>
            </w:pPr>
            <w:r w:rsidDel="00000000" w:rsidR="00000000" w:rsidRPr="00000000">
              <w:rPr>
                <w:rtl w:val="0"/>
              </w:rPr>
              <w:t xml:space="preserve">Ensure inclusive trip planning</w:t>
            </w:r>
          </w:p>
        </w:tc>
        <w:tc>
          <w:tcPr/>
          <w:p w:rsidR="00000000" w:rsidDel="00000000" w:rsidP="00000000" w:rsidRDefault="00000000" w:rsidRPr="00000000" w14:paraId="0000007A">
            <w:pPr>
              <w:rPr/>
            </w:pPr>
            <w:r w:rsidDel="00000000" w:rsidR="00000000" w:rsidRPr="00000000">
              <w:rPr>
                <w:rtl w:val="0"/>
              </w:rPr>
              <w:t xml:space="preserve">Trip Leads</w:t>
            </w:r>
          </w:p>
        </w:tc>
        <w:tc>
          <w:tcPr/>
          <w:p w:rsidR="00000000" w:rsidDel="00000000" w:rsidP="00000000" w:rsidRDefault="00000000" w:rsidRPr="00000000" w14:paraId="0000007B">
            <w:pPr>
              <w:rPr/>
            </w:pPr>
            <w:r w:rsidDel="00000000" w:rsidR="00000000" w:rsidRPr="00000000">
              <w:rPr>
                <w:rtl w:val="0"/>
              </w:rPr>
              <w:t xml:space="preserve">Ongoing</w:t>
            </w:r>
          </w:p>
        </w:tc>
        <w:tc>
          <w:tcPr/>
          <w:p w:rsidR="00000000" w:rsidDel="00000000" w:rsidP="00000000" w:rsidRDefault="00000000" w:rsidRPr="00000000" w14:paraId="0000007C">
            <w:pPr>
              <w:rPr/>
            </w:pPr>
            <w:r w:rsidDel="00000000" w:rsidR="00000000" w:rsidRPr="00000000">
              <w:rPr>
                <w:rtl w:val="0"/>
              </w:rPr>
              <w:t xml:space="preserve">Low</w:t>
            </w:r>
          </w:p>
        </w:tc>
        <w:tc>
          <w:tcPr/>
          <w:p w:rsidR="00000000" w:rsidDel="00000000" w:rsidP="00000000" w:rsidRDefault="00000000" w:rsidRPr="00000000" w14:paraId="0000007D">
            <w:pPr>
              <w:rPr/>
            </w:pPr>
            <w:r w:rsidDel="00000000" w:rsidR="00000000" w:rsidRPr="00000000">
              <w:rPr>
                <w:rtl w:val="0"/>
              </w:rPr>
              <w:t xml:space="preserve">All students able to attend</w:t>
            </w:r>
          </w:p>
        </w:tc>
        <w:tc>
          <w:tcPr/>
          <w:p w:rsidR="00000000" w:rsidDel="00000000" w:rsidP="00000000" w:rsidRDefault="00000000" w:rsidRPr="00000000" w14:paraId="0000007E">
            <w:pPr>
              <w:rPr/>
            </w:pPr>
            <w:r w:rsidDel="00000000" w:rsidR="00000000" w:rsidRPr="00000000">
              <w:rPr>
                <w:rtl w:val="0"/>
              </w:rPr>
              <w:t xml:space="preserve">Evolve audits</w:t>
            </w:r>
          </w:p>
        </w:tc>
        <w:tc>
          <w:tcPr/>
          <w:p w:rsidR="00000000" w:rsidDel="00000000" w:rsidP="00000000" w:rsidRDefault="00000000" w:rsidRPr="00000000" w14:paraId="0000007F">
            <w:pPr>
              <w:rPr/>
            </w:pPr>
            <w:r w:rsidDel="00000000" w:rsidR="00000000" w:rsidRPr="00000000">
              <w:rPr>
                <w:rtl w:val="0"/>
              </w:rPr>
              <w:t xml:space="preserve">Green</w:t>
            </w:r>
          </w:p>
        </w:tc>
      </w:tr>
      <w:tr>
        <w:trPr>
          <w:cantSplit w:val="0"/>
          <w:tblHeader w:val="0"/>
        </w:trPr>
        <w:tc>
          <w:tcPr/>
          <w:p w:rsidR="00000000" w:rsidDel="00000000" w:rsidP="00000000" w:rsidRDefault="00000000" w:rsidRPr="00000000" w14:paraId="00000080">
            <w:pPr>
              <w:rPr/>
            </w:pPr>
            <w:r w:rsidDel="00000000" w:rsidR="00000000" w:rsidRPr="00000000">
              <w:rPr>
                <w:rtl w:val="0"/>
              </w:rPr>
              <w:t xml:space="preserve">Staff</w:t>
            </w:r>
          </w:p>
        </w:tc>
        <w:tc>
          <w:tcPr/>
          <w:p w:rsidR="00000000" w:rsidDel="00000000" w:rsidP="00000000" w:rsidRDefault="00000000" w:rsidRPr="00000000" w14:paraId="00000081">
            <w:pPr>
              <w:rPr/>
            </w:pPr>
            <w:r w:rsidDel="00000000" w:rsidR="00000000" w:rsidRPr="00000000">
              <w:rPr>
                <w:rtl w:val="0"/>
              </w:rPr>
              <w:t xml:space="preserve">Provide reasonable adjustments</w:t>
            </w:r>
          </w:p>
        </w:tc>
        <w:tc>
          <w:tcPr/>
          <w:p w:rsidR="00000000" w:rsidDel="00000000" w:rsidP="00000000" w:rsidRDefault="00000000" w:rsidRPr="00000000" w14:paraId="00000082">
            <w:pPr>
              <w:rPr/>
            </w:pPr>
            <w:r w:rsidDel="00000000" w:rsidR="00000000" w:rsidRPr="00000000">
              <w:rPr>
                <w:rtl w:val="0"/>
              </w:rPr>
              <w:t xml:space="preserve">HR</w:t>
            </w:r>
          </w:p>
        </w:tc>
        <w:tc>
          <w:tcPr/>
          <w:p w:rsidR="00000000" w:rsidDel="00000000" w:rsidP="00000000" w:rsidRDefault="00000000" w:rsidRPr="00000000" w14:paraId="00000083">
            <w:pPr>
              <w:rPr/>
            </w:pPr>
            <w:r w:rsidDel="00000000" w:rsidR="00000000" w:rsidRPr="00000000">
              <w:rPr>
                <w:rtl w:val="0"/>
              </w:rPr>
              <w:t xml:space="preserve">Ongoing</w:t>
            </w:r>
          </w:p>
        </w:tc>
        <w:tc>
          <w:tcPr/>
          <w:p w:rsidR="00000000" w:rsidDel="00000000" w:rsidP="00000000" w:rsidRDefault="00000000" w:rsidRPr="00000000" w14:paraId="00000084">
            <w:pPr>
              <w:rPr/>
            </w:pPr>
            <w:r w:rsidDel="00000000" w:rsidR="00000000" w:rsidRPr="00000000">
              <w:rPr>
                <w:rtl w:val="0"/>
              </w:rPr>
              <w:t xml:space="preserve">Low</w:t>
            </w:r>
          </w:p>
        </w:tc>
        <w:tc>
          <w:tcPr/>
          <w:p w:rsidR="00000000" w:rsidDel="00000000" w:rsidP="00000000" w:rsidRDefault="00000000" w:rsidRPr="00000000" w14:paraId="00000085">
            <w:pPr>
              <w:rPr/>
            </w:pPr>
            <w:r w:rsidDel="00000000" w:rsidR="00000000" w:rsidRPr="00000000">
              <w:rPr>
                <w:rtl w:val="0"/>
              </w:rPr>
              <w:t xml:space="preserve">Staff supported effectively</w:t>
            </w:r>
          </w:p>
        </w:tc>
        <w:tc>
          <w:tcPr/>
          <w:p w:rsidR="00000000" w:rsidDel="00000000" w:rsidP="00000000" w:rsidRDefault="00000000" w:rsidRPr="00000000" w14:paraId="00000086">
            <w:pPr>
              <w:rPr/>
            </w:pPr>
            <w:r w:rsidDel="00000000" w:rsidR="00000000" w:rsidRPr="00000000">
              <w:rPr>
                <w:rtl w:val="0"/>
              </w:rPr>
              <w:t xml:space="preserve">HR review</w:t>
            </w:r>
          </w:p>
        </w:tc>
        <w:tc>
          <w:tcPr/>
          <w:p w:rsidR="00000000" w:rsidDel="00000000" w:rsidP="00000000" w:rsidRDefault="00000000" w:rsidRPr="00000000" w14:paraId="00000087">
            <w:pPr>
              <w:rPr/>
            </w:pPr>
            <w:r w:rsidDel="00000000" w:rsidR="00000000" w:rsidRPr="00000000">
              <w:rPr>
                <w:rtl w:val="0"/>
              </w:rPr>
              <w:t xml:space="preserve">Green</w:t>
            </w:r>
          </w:p>
        </w:tc>
      </w:tr>
      <w:tr>
        <w:trPr>
          <w:cantSplit w:val="0"/>
          <w:tblHeader w:val="0"/>
        </w:trPr>
        <w:tc>
          <w:tcPr/>
          <w:p w:rsidR="00000000" w:rsidDel="00000000" w:rsidP="00000000" w:rsidRDefault="00000000" w:rsidRPr="00000000" w14:paraId="00000088">
            <w:pPr>
              <w:rPr/>
            </w:pPr>
            <w:r w:rsidDel="00000000" w:rsidR="00000000" w:rsidRPr="00000000">
              <w:rPr>
                <w:rtl w:val="0"/>
              </w:rPr>
              <w:t xml:space="preserve">Equality</w:t>
            </w:r>
          </w:p>
        </w:tc>
        <w:tc>
          <w:tcPr/>
          <w:p w:rsidR="00000000" w:rsidDel="00000000" w:rsidP="00000000" w:rsidRDefault="00000000" w:rsidRPr="00000000" w14:paraId="00000089">
            <w:pPr>
              <w:rPr/>
            </w:pPr>
            <w:r w:rsidDel="00000000" w:rsidR="00000000" w:rsidRPr="00000000">
              <w:rPr>
                <w:rtl w:val="0"/>
              </w:rPr>
              <w:t xml:space="preserve">Undertake Equality Impact Assessments</w:t>
            </w:r>
          </w:p>
        </w:tc>
        <w:tc>
          <w:tcPr/>
          <w:p w:rsidR="00000000" w:rsidDel="00000000" w:rsidP="00000000" w:rsidRDefault="00000000" w:rsidRPr="00000000" w14:paraId="0000008A">
            <w:pPr>
              <w:rPr/>
            </w:pPr>
            <w:r w:rsidDel="00000000" w:rsidR="00000000" w:rsidRPr="00000000">
              <w:rPr>
                <w:rtl w:val="0"/>
              </w:rPr>
              <w:t xml:space="preserve">SLT</w:t>
            </w:r>
          </w:p>
        </w:tc>
        <w:tc>
          <w:tcPr/>
          <w:p w:rsidR="00000000" w:rsidDel="00000000" w:rsidP="00000000" w:rsidRDefault="00000000" w:rsidRPr="00000000" w14:paraId="0000008B">
            <w:pPr>
              <w:rPr/>
            </w:pPr>
            <w:r w:rsidDel="00000000" w:rsidR="00000000" w:rsidRPr="00000000">
              <w:rPr>
                <w:rtl w:val="0"/>
              </w:rPr>
              <w:t xml:space="preserve">Annual</w:t>
            </w:r>
          </w:p>
        </w:tc>
        <w:tc>
          <w:tcPr/>
          <w:p w:rsidR="00000000" w:rsidDel="00000000" w:rsidP="00000000" w:rsidRDefault="00000000" w:rsidRPr="00000000" w14:paraId="0000008C">
            <w:pPr>
              <w:rPr/>
            </w:pPr>
            <w:r w:rsidDel="00000000" w:rsidR="00000000" w:rsidRPr="00000000">
              <w:rPr>
                <w:rtl w:val="0"/>
              </w:rPr>
              <w:t xml:space="preserve">Low</w:t>
            </w:r>
          </w:p>
        </w:tc>
        <w:tc>
          <w:tcPr/>
          <w:p w:rsidR="00000000" w:rsidDel="00000000" w:rsidP="00000000" w:rsidRDefault="00000000" w:rsidRPr="00000000" w14:paraId="0000008D">
            <w:pPr>
              <w:rPr/>
            </w:pPr>
            <w:r w:rsidDel="00000000" w:rsidR="00000000" w:rsidRPr="00000000">
              <w:rPr>
                <w:rtl w:val="0"/>
              </w:rPr>
              <w:t xml:space="preserve">No adverse impact identified</w:t>
            </w:r>
          </w:p>
        </w:tc>
        <w:tc>
          <w:tcPr/>
          <w:p w:rsidR="00000000" w:rsidDel="00000000" w:rsidP="00000000" w:rsidRDefault="00000000" w:rsidRPr="00000000" w14:paraId="0000008E">
            <w:pPr>
              <w:rPr/>
            </w:pPr>
            <w:r w:rsidDel="00000000" w:rsidR="00000000" w:rsidRPr="00000000">
              <w:rPr>
                <w:rtl w:val="0"/>
              </w:rPr>
              <w:t xml:space="preserve">Policy review</w:t>
            </w:r>
          </w:p>
        </w:tc>
        <w:tc>
          <w:tcPr/>
          <w:p w:rsidR="00000000" w:rsidDel="00000000" w:rsidP="00000000" w:rsidRDefault="00000000" w:rsidRPr="00000000" w14:paraId="0000008F">
            <w:pPr>
              <w:rPr/>
            </w:pPr>
            <w:r w:rsidDel="00000000" w:rsidR="00000000" w:rsidRPr="00000000">
              <w:rPr>
                <w:rtl w:val="0"/>
              </w:rPr>
              <w:t xml:space="preserve">Green</w:t>
            </w:r>
          </w:p>
        </w:tc>
      </w:tr>
    </w:tbl>
    <w:p w:rsidR="00000000" w:rsidDel="00000000" w:rsidP="00000000" w:rsidRDefault="00000000" w:rsidRPr="00000000" w14:paraId="00000090">
      <w:pPr>
        <w:rPr>
          <w:sz w:val="20"/>
          <w:szCs w:val="20"/>
        </w:rPr>
      </w:pPr>
      <w:r w:rsidDel="00000000" w:rsidR="00000000" w:rsidRPr="00000000">
        <w:rPr>
          <w:rtl w:val="0"/>
        </w:rPr>
      </w:r>
    </w:p>
    <w:p w:rsidR="00000000" w:rsidDel="00000000" w:rsidP="00000000" w:rsidRDefault="00000000" w:rsidRPr="00000000" w14:paraId="00000091">
      <w:pPr>
        <w:pStyle w:val="Heading1"/>
        <w:numPr>
          <w:ilvl w:val="0"/>
          <w:numId w:val="1"/>
        </w:numPr>
        <w:tabs>
          <w:tab w:val="left" w:leader="none" w:pos="479"/>
        </w:tabs>
        <w:spacing w:before="42" w:lineRule="auto"/>
        <w:ind w:left="479" w:hanging="239"/>
        <w:rPr>
          <w:color w:val="001f5f"/>
        </w:rPr>
      </w:pPr>
      <w:bookmarkStart w:colFirst="0" w:colLast="0" w:name="_heading=h.s4g409a9i7q7" w:id="2"/>
      <w:bookmarkEnd w:id="2"/>
      <w:r w:rsidDel="00000000" w:rsidR="00000000" w:rsidRPr="00000000">
        <w:rPr>
          <w:color w:val="001f5f"/>
          <w:rtl w:val="0"/>
        </w:rPr>
        <w:t xml:space="preserve">Monitoring and Review</w:t>
      </w:r>
    </w:p>
    <w:p w:rsidR="00000000" w:rsidDel="00000000" w:rsidP="00000000" w:rsidRDefault="00000000" w:rsidRPr="00000000" w14:paraId="00000092">
      <w:pPr>
        <w:ind w:left="142" w:firstLine="0"/>
        <w:rPr/>
      </w:pPr>
      <w:r w:rsidDel="00000000" w:rsidR="00000000" w:rsidRPr="00000000">
        <w:rPr>
          <w:rtl w:val="0"/>
        </w:rPr>
        <w:t xml:space="preserve">This plan will be reviewed annually and updated every three years. Progress will be monitored through leadership and governance structure.</w:t>
      </w:r>
    </w:p>
    <w:sectPr>
      <w:headerReference r:id="rId11" w:type="default"/>
      <w:footerReference r:id="rId12" w:type="default"/>
      <w:type w:val="nextPage"/>
      <w:pgSz w:h="16840" w:w="11910" w:orient="portrait"/>
      <w:pgMar w:bottom="851" w:top="851" w:left="851" w:right="851" w:header="567" w:footer="56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356857</wp:posOffset>
              </wp:positionH>
              <wp:positionV relativeFrom="paragraph">
                <wp:posOffset>10098468</wp:posOffset>
              </wp:positionV>
              <wp:extent cx="3401060" cy="161925"/>
              <wp:effectExtent b="0" l="0" r="0" t="0"/>
              <wp:wrapNone/>
              <wp:docPr id="1" name=""/>
              <a:graphic>
                <a:graphicData uri="http://schemas.microsoft.com/office/word/2010/wordprocessingShape">
                  <wps:wsp>
                    <wps:cNvSpPr/>
                    <wps:cNvPr id="2" name="Shape 2"/>
                    <wps:spPr>
                      <a:xfrm>
                        <a:off x="3650233" y="3703800"/>
                        <a:ext cx="3391535" cy="152400"/>
                      </a:xfrm>
                      <a:prstGeom prst="rect">
                        <a:avLst/>
                      </a:prstGeom>
                      <a:noFill/>
                      <a:ln>
                        <a:noFill/>
                      </a:ln>
                    </wps:spPr>
                    <wps:txbx>
                      <w:txbxContent>
                        <w:p w:rsidR="00000000" w:rsidDel="00000000" w:rsidP="00000000" w:rsidRDefault="00000000" w:rsidRPr="00000000">
                          <w:pPr>
                            <w:spacing w:after="0" w:before="0" w:line="222.9999876022339"/>
                            <w:ind w:left="20" w:right="0" w:firstLine="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356857</wp:posOffset>
              </wp:positionH>
              <wp:positionV relativeFrom="paragraph">
                <wp:posOffset>10098468</wp:posOffset>
              </wp:positionV>
              <wp:extent cx="3401060" cy="161925"/>
              <wp:effectExtent b="0" l="0" r="0" t="0"/>
              <wp:wrapNone/>
              <wp:docPr id="1"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3401060" cy="16192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
        <w:szCs w:val="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336" w:hanging="240"/>
      </w:pPr>
      <w:rPr>
        <w:rFonts w:ascii="Calibri" w:cs="Calibri" w:eastAsia="Calibri" w:hAnsi="Calibri"/>
        <w:b w:val="1"/>
        <w:bCs w:val="1"/>
        <w:i w:val="0"/>
        <w:iCs w:val="0"/>
        <w:color w:val="001f5f"/>
        <w:sz w:val="32"/>
        <w:szCs w:val="32"/>
      </w:rPr>
    </w:lvl>
    <w:lvl w:ilvl="1">
      <w:start w:val="0"/>
      <w:numFmt w:val="bullet"/>
      <w:lvlText w:val="●"/>
      <w:lvlJc w:val="left"/>
      <w:pPr>
        <w:ind w:left="1560" w:hanging="360"/>
      </w:pPr>
      <w:rPr>
        <w:rFonts w:ascii="Noto Sans Symbols" w:cs="Noto Sans Symbols" w:eastAsia="Noto Sans Symbols" w:hAnsi="Noto Sans Symbols"/>
        <w:b w:val="0"/>
        <w:bCs w:val="0"/>
        <w:i w:val="0"/>
        <w:iCs w:val="0"/>
        <w:sz w:val="20"/>
        <w:szCs w:val="20"/>
      </w:rPr>
    </w:lvl>
    <w:lvl w:ilvl="2">
      <w:start w:val="0"/>
      <w:numFmt w:val="bullet"/>
      <w:lvlText w:val="•"/>
      <w:lvlJc w:val="left"/>
      <w:pPr>
        <w:ind w:left="2416" w:hanging="360"/>
      </w:pPr>
      <w:rPr/>
    </w:lvl>
    <w:lvl w:ilvl="3">
      <w:start w:val="0"/>
      <w:numFmt w:val="bullet"/>
      <w:lvlText w:val="•"/>
      <w:lvlJc w:val="left"/>
      <w:pPr>
        <w:ind w:left="3272" w:hanging="360"/>
      </w:pPr>
      <w:rPr/>
    </w:lvl>
    <w:lvl w:ilvl="4">
      <w:start w:val="0"/>
      <w:numFmt w:val="bullet"/>
      <w:lvlText w:val="•"/>
      <w:lvlJc w:val="left"/>
      <w:pPr>
        <w:ind w:left="4128" w:hanging="360"/>
      </w:pPr>
      <w:rPr/>
    </w:lvl>
    <w:lvl w:ilvl="5">
      <w:start w:val="0"/>
      <w:numFmt w:val="bullet"/>
      <w:lvlText w:val="•"/>
      <w:lvlJc w:val="left"/>
      <w:pPr>
        <w:ind w:left="4985" w:hanging="360"/>
      </w:pPr>
      <w:rPr/>
    </w:lvl>
    <w:lvl w:ilvl="6">
      <w:start w:val="0"/>
      <w:numFmt w:val="bullet"/>
      <w:lvlText w:val="•"/>
      <w:lvlJc w:val="left"/>
      <w:pPr>
        <w:ind w:left="5841" w:hanging="360"/>
      </w:pPr>
      <w:rPr/>
    </w:lvl>
    <w:lvl w:ilvl="7">
      <w:start w:val="0"/>
      <w:numFmt w:val="bullet"/>
      <w:lvlText w:val="•"/>
      <w:lvlJc w:val="left"/>
      <w:pPr>
        <w:ind w:left="6697" w:hanging="360"/>
      </w:pPr>
      <w:rPr/>
    </w:lvl>
    <w:lvl w:ilvl="8">
      <w:start w:val="0"/>
      <w:numFmt w:val="bullet"/>
      <w:lvlText w:val="•"/>
      <w:lvlJc w:val="left"/>
      <w:pPr>
        <w:ind w:left="7553" w:hanging="360"/>
      </w:pPr>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389" w:lineRule="auto"/>
      <w:ind w:left="459" w:hanging="239"/>
    </w:pPr>
    <w:rPr>
      <w:b w:val="1"/>
      <w:bCs w:val="1"/>
      <w:sz w:val="32"/>
      <w:szCs w:val="32"/>
    </w:rPr>
  </w:style>
  <w:style w:type="paragraph" w:styleId="Heading2">
    <w:name w:val="heading 2"/>
    <w:basedOn w:val="Normal"/>
    <w:next w:val="Normal"/>
    <w:pPr>
      <w:jc w:val="center"/>
    </w:pPr>
    <w:rPr>
      <w:b w:val="1"/>
      <w:bCs w:val="1"/>
      <w:sz w:val="24"/>
      <w:szCs w:val="24"/>
    </w:rPr>
  </w:style>
  <w:style w:type="paragraph" w:styleId="Heading3">
    <w:name w:val="heading 3"/>
    <w:basedOn w:val="Normal"/>
    <w:next w:val="Normal"/>
    <w:pPr>
      <w:spacing w:before="118" w:lineRule="auto"/>
      <w:ind w:left="100" w:right="216"/>
    </w:pPr>
    <w:rPr>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478" w:lineRule="auto"/>
      <w:ind w:left="3" w:right="1"/>
      <w:jc w:val="center"/>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footer" Target="footer1.xml"/><Relationship Id="rId12" Type="http://schemas.openxmlformats.org/officeDocument/2006/relationships/footer" Target="footer2.xml"/><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vd+5XSRHN9a6pYPq0UI6nHp5GA==">CgMxLjAyDmguOWY4NmU4b3VyaXhzMg5oLjF5M2wxOGNrY2NpdzIOaC5zNGc0MDlhOWk3cTc4AHIhMW5DT0hmbkZsV1Zhbkw5eFhwcUJBX2VwN0t0aDVab1Vh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2023-04-20T00:00:00Z</vt:lpwstr>
  </property>
  <property fmtid="{D5CDD505-2E9C-101B-9397-08002B2CF9AE}" pid="3" name="Creator">
    <vt:lpwstr>Microsoft® Word for Microsoft 365</vt:lpwstr>
  </property>
  <property fmtid="{D5CDD505-2E9C-101B-9397-08002B2CF9AE}" pid="4" name="LastSaved">
    <vt:lpwstr>2026-01-12T00:00:00Z</vt:lpwstr>
  </property>
  <property fmtid="{D5CDD505-2E9C-101B-9397-08002B2CF9AE}" pid="5" name="Producer">
    <vt:lpwstr>Microsoft® Word for Microsoft 365</vt:lpwstr>
  </property>
</Properties>
</file>